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9B98764" w14:textId="77777777" w:rsidR="00850FC3" w:rsidRDefault="00850FC3" w:rsidP="006207DA">
      <w:pPr>
        <w:jc w:val="both"/>
        <w:rPr>
          <w:rFonts w:cstheme="minorHAnsi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FC3" w:rsidRPr="000A225D" w14:paraId="246B4EA1" w14:textId="77777777" w:rsidTr="007142CE">
        <w:tc>
          <w:tcPr>
            <w:tcW w:w="9062" w:type="dxa"/>
          </w:tcPr>
          <w:p w14:paraId="0D8BE751" w14:textId="77777777" w:rsidR="00850FC3" w:rsidRPr="000A225D" w:rsidRDefault="00850FC3" w:rsidP="007142CE">
            <w:pPr>
              <w:jc w:val="center"/>
            </w:pPr>
          </w:p>
          <w:p w14:paraId="4B35B5B0" w14:textId="77777777" w:rsidR="00850FC3" w:rsidRPr="000A225D" w:rsidRDefault="00850FC3" w:rsidP="007142CE">
            <w:pPr>
              <w:jc w:val="center"/>
              <w:rPr>
                <w:u w:val="single"/>
              </w:rPr>
            </w:pPr>
            <w:r w:rsidRPr="000A225D">
              <w:rPr>
                <w:u w:val="single"/>
              </w:rPr>
              <w:t>1854 - IMMIGRATION INDIENNE EN GUADELOUPE - 1889</w:t>
            </w:r>
          </w:p>
          <w:p w14:paraId="668801AB" w14:textId="77777777" w:rsidR="00850FC3" w:rsidRPr="000A225D" w:rsidRDefault="00850FC3" w:rsidP="007142CE">
            <w:pPr>
              <w:jc w:val="center"/>
              <w:rPr>
                <w:b/>
                <w:bCs/>
              </w:rPr>
            </w:pPr>
          </w:p>
          <w:p w14:paraId="0AB4EA12" w14:textId="77777777" w:rsidR="00850FC3" w:rsidRPr="000A225D" w:rsidRDefault="00850FC3" w:rsidP="007142CE">
            <w:pPr>
              <w:jc w:val="center"/>
              <w:rPr>
                <w:b/>
                <w:bCs/>
                <w:sz w:val="32"/>
                <w:szCs w:val="32"/>
              </w:rPr>
            </w:pPr>
            <w:r w:rsidRPr="000A225D">
              <w:rPr>
                <w:b/>
                <w:bCs/>
                <w:sz w:val="32"/>
                <w:szCs w:val="32"/>
              </w:rPr>
              <w:t xml:space="preserve">SERIE ‘ </w:t>
            </w:r>
            <w:r>
              <w:rPr>
                <w:b/>
                <w:bCs/>
                <w:sz w:val="32"/>
                <w:szCs w:val="32"/>
              </w:rPr>
              <w:t xml:space="preserve">les </w:t>
            </w:r>
            <w:r w:rsidRPr="00EC15D4">
              <w:rPr>
                <w:b/>
                <w:bCs/>
                <w:i/>
                <w:iCs/>
                <w:sz w:val="32"/>
                <w:szCs w:val="32"/>
              </w:rPr>
              <w:t>convois indiens</w:t>
            </w:r>
            <w:r>
              <w:rPr>
                <w:b/>
                <w:bCs/>
                <w:sz w:val="32"/>
                <w:szCs w:val="32"/>
              </w:rPr>
              <w:t xml:space="preserve"> d’introduction</w:t>
            </w:r>
            <w:r w:rsidRPr="000A225D">
              <w:rPr>
                <w:b/>
                <w:bCs/>
                <w:sz w:val="32"/>
                <w:szCs w:val="32"/>
              </w:rPr>
              <w:t>’</w:t>
            </w:r>
          </w:p>
          <w:p w14:paraId="59846C0F" w14:textId="77777777" w:rsidR="00850FC3" w:rsidRPr="000A225D" w:rsidRDefault="00850FC3" w:rsidP="007142CE">
            <w:pPr>
              <w:jc w:val="center"/>
              <w:rPr>
                <w:b/>
                <w:bCs/>
              </w:rPr>
            </w:pPr>
          </w:p>
          <w:p w14:paraId="48326C24" w14:textId="77777777" w:rsidR="00850FC3" w:rsidRPr="000A225D" w:rsidRDefault="00850FC3" w:rsidP="00850FC3">
            <w:pPr>
              <w:pStyle w:val="Paragraphedeliste"/>
              <w:numPr>
                <w:ilvl w:val="0"/>
                <w:numId w:val="8"/>
              </w:num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</w:t>
            </w:r>
            <w:r w:rsidR="0077215E">
              <w:rPr>
                <w:b/>
                <w:bCs/>
                <w:sz w:val="28"/>
                <w:szCs w:val="28"/>
              </w:rPr>
              <w:t xml:space="preserve"> (premier) </w:t>
            </w:r>
            <w:r>
              <w:rPr>
                <w:b/>
                <w:bCs/>
                <w:sz w:val="28"/>
                <w:szCs w:val="28"/>
              </w:rPr>
              <w:t>Hereford.</w:t>
            </w:r>
          </w:p>
          <w:p w14:paraId="516B821C" w14:textId="77777777" w:rsidR="00850FC3" w:rsidRPr="006C2100" w:rsidRDefault="00850FC3" w:rsidP="007142CE">
            <w:pPr>
              <w:jc w:val="right"/>
              <w:rPr>
                <w:i/>
                <w:iCs/>
              </w:rPr>
            </w:pPr>
            <w:r w:rsidRPr="006C2100">
              <w:rPr>
                <w:i/>
                <w:iCs/>
              </w:rPr>
              <w:t>Un convoi ‘</w:t>
            </w:r>
            <w:r>
              <w:rPr>
                <w:i/>
                <w:iCs/>
              </w:rPr>
              <w:t>béribéri</w:t>
            </w:r>
            <w:r w:rsidRPr="006C2100">
              <w:rPr>
                <w:i/>
                <w:iCs/>
              </w:rPr>
              <w:t xml:space="preserve">’ </w:t>
            </w:r>
          </w:p>
        </w:tc>
      </w:tr>
    </w:tbl>
    <w:p w14:paraId="43B443E4" w14:textId="77777777" w:rsidR="00FC6826" w:rsidRPr="003128D5" w:rsidRDefault="00FC6826" w:rsidP="00F945FC">
      <w:pPr>
        <w:rPr>
          <w:rFonts w:cstheme="minorHAnsi"/>
          <w:sz w:val="26"/>
          <w:szCs w:val="26"/>
        </w:rPr>
      </w:pPr>
    </w:p>
    <w:p w14:paraId="759D4DA7" w14:textId="77777777" w:rsidR="00FC6826" w:rsidRPr="003128D5" w:rsidRDefault="00FC6826" w:rsidP="00FC6826">
      <w:pPr>
        <w:jc w:val="right"/>
        <w:rPr>
          <w:rFonts w:cstheme="minorHAnsi"/>
          <w:i/>
          <w:iCs/>
          <w:sz w:val="26"/>
          <w:szCs w:val="26"/>
        </w:rPr>
      </w:pPr>
      <w:r w:rsidRPr="003128D5">
        <w:rPr>
          <w:rFonts w:cstheme="minorHAnsi"/>
          <w:i/>
          <w:iCs/>
          <w:sz w:val="26"/>
          <w:szCs w:val="26"/>
        </w:rPr>
        <w:t xml:space="preserve">Jack </w:t>
      </w:r>
      <w:proofErr w:type="spellStart"/>
      <w:r w:rsidRPr="003128D5">
        <w:rPr>
          <w:rFonts w:cstheme="minorHAnsi"/>
          <w:i/>
          <w:iCs/>
          <w:sz w:val="26"/>
          <w:szCs w:val="26"/>
        </w:rPr>
        <w:t>Caïlachon</w:t>
      </w:r>
      <w:proofErr w:type="spellEnd"/>
    </w:p>
    <w:p w14:paraId="2EB8F8FA" w14:textId="77777777" w:rsidR="0016526C" w:rsidRDefault="00B30DAE" w:rsidP="006207D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En décembre 1888, à la faculté de médecine et de pharmacie de Lyon, Ch. Cauvin </w:t>
      </w:r>
      <w:r w:rsidR="008C0A06">
        <w:rPr>
          <w:rFonts w:cstheme="minorHAnsi"/>
          <w:sz w:val="26"/>
          <w:szCs w:val="26"/>
        </w:rPr>
        <w:t>– qui était alors médecin de 1</w:t>
      </w:r>
      <w:r w:rsidR="008C0A06" w:rsidRPr="008C0A06">
        <w:rPr>
          <w:rFonts w:cstheme="minorHAnsi"/>
          <w:sz w:val="26"/>
          <w:szCs w:val="26"/>
          <w:vertAlign w:val="superscript"/>
        </w:rPr>
        <w:t>ère</w:t>
      </w:r>
      <w:r w:rsidR="008C0A06">
        <w:rPr>
          <w:rFonts w:cstheme="minorHAnsi"/>
          <w:sz w:val="26"/>
          <w:szCs w:val="26"/>
        </w:rPr>
        <w:t xml:space="preserve"> classe de la marine - </w:t>
      </w:r>
      <w:r>
        <w:rPr>
          <w:rFonts w:cstheme="minorHAnsi"/>
          <w:sz w:val="26"/>
          <w:szCs w:val="26"/>
        </w:rPr>
        <w:t xml:space="preserve">soutenait sa thèse </w:t>
      </w:r>
      <w:r w:rsidR="008C0A06">
        <w:rPr>
          <w:rFonts w:cstheme="minorHAnsi"/>
          <w:sz w:val="26"/>
          <w:szCs w:val="26"/>
        </w:rPr>
        <w:t xml:space="preserve">pour l’obtention du grade </w:t>
      </w:r>
      <w:r>
        <w:rPr>
          <w:rFonts w:cstheme="minorHAnsi"/>
          <w:sz w:val="26"/>
          <w:szCs w:val="26"/>
        </w:rPr>
        <w:t>de</w:t>
      </w:r>
      <w:r w:rsidR="008C0A06">
        <w:rPr>
          <w:rFonts w:cstheme="minorHAnsi"/>
          <w:sz w:val="26"/>
          <w:szCs w:val="26"/>
        </w:rPr>
        <w:t xml:space="preserve"> docteur en</w:t>
      </w:r>
      <w:r>
        <w:rPr>
          <w:rFonts w:cstheme="minorHAnsi"/>
          <w:sz w:val="26"/>
          <w:szCs w:val="26"/>
        </w:rPr>
        <w:t xml:space="preserve"> médecine</w:t>
      </w:r>
      <w:r w:rsidR="00892604">
        <w:rPr>
          <w:rFonts w:cstheme="minorHAnsi"/>
          <w:sz w:val="26"/>
          <w:szCs w:val="26"/>
        </w:rPr>
        <w:t xml:space="preserve"> (1)</w:t>
      </w:r>
      <w:r w:rsidR="008C0A06">
        <w:rPr>
          <w:rFonts w:cstheme="minorHAnsi"/>
          <w:sz w:val="26"/>
          <w:szCs w:val="26"/>
        </w:rPr>
        <w:t xml:space="preserve">. Cette thèse </w:t>
      </w:r>
      <w:r w:rsidR="00AF71A4">
        <w:rPr>
          <w:rFonts w:cstheme="minorHAnsi"/>
          <w:sz w:val="26"/>
          <w:szCs w:val="26"/>
        </w:rPr>
        <w:t>était consacrée au</w:t>
      </w:r>
      <w:r w:rsidR="00BB1700">
        <w:rPr>
          <w:rFonts w:cstheme="minorHAnsi"/>
          <w:sz w:val="26"/>
          <w:szCs w:val="26"/>
        </w:rPr>
        <w:t xml:space="preserve">béribéri </w:t>
      </w:r>
      <w:r w:rsidR="0016526C">
        <w:rPr>
          <w:rFonts w:cstheme="minorHAnsi"/>
          <w:sz w:val="26"/>
          <w:szCs w:val="26"/>
        </w:rPr>
        <w:t xml:space="preserve">avec </w:t>
      </w:r>
      <w:r w:rsidR="00BB1700">
        <w:rPr>
          <w:rFonts w:cstheme="minorHAnsi"/>
          <w:sz w:val="26"/>
          <w:szCs w:val="26"/>
        </w:rPr>
        <w:t xml:space="preserve">en sous-titre : </w:t>
      </w:r>
      <w:r w:rsidR="00BB1700">
        <w:rPr>
          <w:rFonts w:cstheme="minorHAnsi"/>
          <w:i/>
          <w:iCs/>
          <w:sz w:val="26"/>
          <w:szCs w:val="26"/>
        </w:rPr>
        <w:t>‘Souvenirs d’un voyage à l’immigration hindoue’</w:t>
      </w:r>
      <w:r w:rsidR="00BB1700">
        <w:rPr>
          <w:rFonts w:cstheme="minorHAnsi"/>
          <w:sz w:val="26"/>
          <w:szCs w:val="26"/>
        </w:rPr>
        <w:t xml:space="preserve">. </w:t>
      </w:r>
      <w:r w:rsidR="00093295">
        <w:rPr>
          <w:rFonts w:cstheme="minorHAnsi"/>
          <w:sz w:val="26"/>
          <w:szCs w:val="26"/>
        </w:rPr>
        <w:t>C</w:t>
      </w:r>
      <w:r w:rsidR="00BB1700">
        <w:rPr>
          <w:rFonts w:cstheme="minorHAnsi"/>
          <w:sz w:val="26"/>
          <w:szCs w:val="26"/>
        </w:rPr>
        <w:t xml:space="preserve">e voyage était celui du </w:t>
      </w:r>
      <w:r w:rsidR="00BB1700" w:rsidRPr="00BB1700">
        <w:rPr>
          <w:rFonts w:ascii="Lucida Handwriting" w:hAnsi="Lucida Handwriting" w:cstheme="minorHAnsi"/>
          <w:sz w:val="26"/>
          <w:szCs w:val="26"/>
        </w:rPr>
        <w:t>Hereford</w:t>
      </w:r>
      <w:r w:rsidR="00BB1700">
        <w:rPr>
          <w:rFonts w:cstheme="minorHAnsi"/>
          <w:sz w:val="26"/>
          <w:szCs w:val="26"/>
        </w:rPr>
        <w:t xml:space="preserve"> porteur du 85</w:t>
      </w:r>
      <w:r w:rsidR="00BB1700" w:rsidRPr="00BB1700">
        <w:rPr>
          <w:rFonts w:cstheme="minorHAnsi"/>
          <w:sz w:val="26"/>
          <w:szCs w:val="26"/>
          <w:vertAlign w:val="superscript"/>
        </w:rPr>
        <w:t>ème</w:t>
      </w:r>
      <w:r w:rsidR="00BB1700">
        <w:rPr>
          <w:rFonts w:cstheme="minorHAnsi"/>
          <w:sz w:val="26"/>
          <w:szCs w:val="26"/>
        </w:rPr>
        <w:t xml:space="preserve"> convoi d’introduction d’Indiens en Guadeloupe où il arriva le 24 décembre 1882 et débarqua 514 immigrants </w:t>
      </w:r>
      <w:r w:rsidR="008C0A06">
        <w:rPr>
          <w:rFonts w:cstheme="minorHAnsi"/>
          <w:sz w:val="26"/>
          <w:szCs w:val="26"/>
        </w:rPr>
        <w:t>en provenance de Calcutta qu’ils avaient quitté</w:t>
      </w:r>
      <w:r w:rsidR="001F0B6D">
        <w:rPr>
          <w:rFonts w:cstheme="minorHAnsi"/>
          <w:sz w:val="26"/>
          <w:szCs w:val="26"/>
        </w:rPr>
        <w:t xml:space="preserve"> -</w:t>
      </w:r>
      <w:r w:rsidR="008C0A06">
        <w:rPr>
          <w:rFonts w:cstheme="minorHAnsi"/>
          <w:sz w:val="26"/>
          <w:szCs w:val="26"/>
        </w:rPr>
        <w:t xml:space="preserve"> au nombre de 525</w:t>
      </w:r>
      <w:r w:rsidR="001F0B6D">
        <w:rPr>
          <w:rFonts w:cstheme="minorHAnsi"/>
          <w:sz w:val="26"/>
          <w:szCs w:val="26"/>
        </w:rPr>
        <w:t xml:space="preserve"> -</w:t>
      </w:r>
      <w:r w:rsidR="008C0A06">
        <w:rPr>
          <w:rFonts w:cstheme="minorHAnsi"/>
          <w:sz w:val="26"/>
          <w:szCs w:val="26"/>
        </w:rPr>
        <w:t xml:space="preserve"> au tout début d’octobre</w:t>
      </w:r>
      <w:r w:rsidR="00FA1227">
        <w:rPr>
          <w:rFonts w:cstheme="minorHAnsi"/>
          <w:sz w:val="26"/>
          <w:szCs w:val="26"/>
        </w:rPr>
        <w:t xml:space="preserve"> ; </w:t>
      </w:r>
      <w:r w:rsidR="0027740C">
        <w:rPr>
          <w:rFonts w:cstheme="minorHAnsi"/>
          <w:sz w:val="26"/>
          <w:szCs w:val="26"/>
        </w:rPr>
        <w:t>la différence étant imputable à des décès dus au béribéri.</w:t>
      </w:r>
    </w:p>
    <w:p w14:paraId="09346BA9" w14:textId="77777777" w:rsidR="00386D9B" w:rsidRDefault="0027740C" w:rsidP="00386D9B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Dans ses descriptions généralisantes de l’Hindou, </w:t>
      </w:r>
      <w:r w:rsidR="00386D9B">
        <w:rPr>
          <w:rFonts w:cstheme="minorHAnsi"/>
          <w:sz w:val="26"/>
          <w:szCs w:val="26"/>
        </w:rPr>
        <w:t>Cauvin n’échappe évidemment pas aux stéréotypes</w:t>
      </w:r>
      <w:r w:rsidR="006E36BC">
        <w:rPr>
          <w:rFonts w:cstheme="minorHAnsi"/>
          <w:sz w:val="26"/>
          <w:szCs w:val="26"/>
        </w:rPr>
        <w:t xml:space="preserve"> occidentaux</w:t>
      </w:r>
      <w:r w:rsidR="0047231A">
        <w:rPr>
          <w:rFonts w:cstheme="minorHAnsi"/>
          <w:sz w:val="26"/>
          <w:szCs w:val="26"/>
        </w:rPr>
        <w:t xml:space="preserve"> et préjugés</w:t>
      </w:r>
      <w:r w:rsidR="00386D9B">
        <w:rPr>
          <w:rFonts w:cstheme="minorHAnsi"/>
          <w:sz w:val="26"/>
          <w:szCs w:val="26"/>
        </w:rPr>
        <w:t xml:space="preserve"> de son époque </w:t>
      </w:r>
      <w:r w:rsidR="00901E10">
        <w:rPr>
          <w:rFonts w:cstheme="minorHAnsi"/>
          <w:sz w:val="26"/>
          <w:szCs w:val="26"/>
        </w:rPr>
        <w:t xml:space="preserve">aujourd’hui </w:t>
      </w:r>
      <w:r w:rsidR="00386D9B">
        <w:rPr>
          <w:rFonts w:cstheme="minorHAnsi"/>
          <w:sz w:val="26"/>
          <w:szCs w:val="26"/>
        </w:rPr>
        <w:t xml:space="preserve">révolue mais il renseigne précisément, dans son premier chapitre, sur différents aspects du convoi du </w:t>
      </w:r>
      <w:r w:rsidR="00386D9B" w:rsidRPr="00DB47FB">
        <w:rPr>
          <w:rFonts w:ascii="Lucida Handwriting" w:hAnsi="Lucida Handwriting" w:cstheme="minorHAnsi"/>
          <w:sz w:val="26"/>
          <w:szCs w:val="26"/>
        </w:rPr>
        <w:t>Hereford</w:t>
      </w:r>
      <w:r w:rsidR="00386D9B">
        <w:rPr>
          <w:rFonts w:cstheme="minorHAnsi"/>
          <w:sz w:val="26"/>
          <w:szCs w:val="26"/>
        </w:rPr>
        <w:t> :</w:t>
      </w:r>
      <w:r w:rsidR="00E524C2">
        <w:rPr>
          <w:rFonts w:cstheme="minorHAnsi"/>
          <w:sz w:val="26"/>
          <w:szCs w:val="26"/>
        </w:rPr>
        <w:t xml:space="preserve"> l’aération et</w:t>
      </w:r>
      <w:r w:rsidR="00386D9B">
        <w:rPr>
          <w:rFonts w:cstheme="minorHAnsi"/>
          <w:sz w:val="26"/>
          <w:szCs w:val="26"/>
        </w:rPr>
        <w:t xml:space="preserve"> le logement de l’immigrant à bord du bateau, ses vêtements, les effets de la météo changeante en cours de traversée sur sa santé, son alimentation</w:t>
      </w:r>
      <w:r w:rsidR="00E524C2">
        <w:rPr>
          <w:rFonts w:cstheme="minorHAnsi"/>
          <w:sz w:val="26"/>
          <w:szCs w:val="26"/>
        </w:rPr>
        <w:t>, ses loisirs</w:t>
      </w:r>
      <w:r w:rsidR="00AA2562">
        <w:rPr>
          <w:rFonts w:cstheme="minorHAnsi"/>
          <w:sz w:val="26"/>
          <w:szCs w:val="26"/>
        </w:rPr>
        <w:t xml:space="preserve"> et </w:t>
      </w:r>
      <w:r w:rsidR="00E524C2">
        <w:rPr>
          <w:rFonts w:cstheme="minorHAnsi"/>
          <w:sz w:val="26"/>
          <w:szCs w:val="26"/>
        </w:rPr>
        <w:t>bien d’</w:t>
      </w:r>
      <w:r w:rsidR="00AA2562">
        <w:rPr>
          <w:rFonts w:cstheme="minorHAnsi"/>
          <w:sz w:val="26"/>
          <w:szCs w:val="26"/>
        </w:rPr>
        <w:t>autres aspects de ‘la vie à bord</w:t>
      </w:r>
      <w:r w:rsidR="00E60449">
        <w:rPr>
          <w:rFonts w:cstheme="minorHAnsi"/>
          <w:sz w:val="26"/>
          <w:szCs w:val="26"/>
        </w:rPr>
        <w:t>’</w:t>
      </w:r>
      <w:r w:rsidR="00951687">
        <w:rPr>
          <w:rFonts w:cstheme="minorHAnsi"/>
          <w:sz w:val="26"/>
          <w:szCs w:val="26"/>
        </w:rPr>
        <w:t xml:space="preserve"> de ces migrants indiens</w:t>
      </w:r>
      <w:r w:rsidR="00AA2562">
        <w:rPr>
          <w:rFonts w:cstheme="minorHAnsi"/>
          <w:sz w:val="26"/>
          <w:szCs w:val="26"/>
        </w:rPr>
        <w:t xml:space="preserve">. </w:t>
      </w:r>
      <w:r w:rsidR="00386D9B">
        <w:rPr>
          <w:rFonts w:cstheme="minorHAnsi"/>
          <w:sz w:val="26"/>
          <w:szCs w:val="26"/>
        </w:rPr>
        <w:t>Ses autres chapitres envisagent le convoi sous l’angle sanitaire et</w:t>
      </w:r>
      <w:r w:rsidR="008D0C87">
        <w:rPr>
          <w:rFonts w:cstheme="minorHAnsi"/>
          <w:sz w:val="26"/>
          <w:szCs w:val="26"/>
        </w:rPr>
        <w:t xml:space="preserve"> à travers</w:t>
      </w:r>
      <w:r w:rsidR="00386D9B">
        <w:rPr>
          <w:rFonts w:cstheme="minorHAnsi"/>
          <w:sz w:val="26"/>
          <w:szCs w:val="26"/>
        </w:rPr>
        <w:t xml:space="preserve"> le prisme du béribéri, autre façon de compléter la documentation de ce convoi en allant directement à la source (1).</w:t>
      </w:r>
    </w:p>
    <w:p w14:paraId="3B12E7E5" w14:textId="77777777" w:rsidR="00386D9B" w:rsidRDefault="0016526C" w:rsidP="00386D9B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L’essentiel des 113 pages de cette thèseest naturellement consacré à desconsidérations médicales, mais le convoi du </w:t>
      </w:r>
      <w:r w:rsidRPr="0016526C">
        <w:rPr>
          <w:rFonts w:ascii="Lucida Handwriting" w:hAnsi="Lucida Handwriting" w:cstheme="minorHAnsi"/>
          <w:sz w:val="26"/>
          <w:szCs w:val="26"/>
        </w:rPr>
        <w:t>Hereford</w:t>
      </w:r>
      <w:r w:rsidR="00A511C8">
        <w:rPr>
          <w:rFonts w:cstheme="minorHAnsi"/>
          <w:sz w:val="26"/>
          <w:szCs w:val="26"/>
        </w:rPr>
        <w:t xml:space="preserve">lui </w:t>
      </w:r>
      <w:r>
        <w:rPr>
          <w:rFonts w:cstheme="minorHAnsi"/>
          <w:sz w:val="26"/>
          <w:szCs w:val="26"/>
        </w:rPr>
        <w:t>servant de terrain d’étude, Cauvin ne p</w:t>
      </w:r>
      <w:r w:rsidR="000331E9">
        <w:rPr>
          <w:rFonts w:cstheme="minorHAnsi"/>
          <w:sz w:val="26"/>
          <w:szCs w:val="26"/>
        </w:rPr>
        <w:t>ouvait</w:t>
      </w:r>
      <w:r>
        <w:rPr>
          <w:rFonts w:cstheme="minorHAnsi"/>
          <w:sz w:val="26"/>
          <w:szCs w:val="26"/>
        </w:rPr>
        <w:t xml:space="preserve"> totalement exclure de lui consacrer quelques</w:t>
      </w:r>
      <w:r w:rsidR="006E07BB">
        <w:rPr>
          <w:rFonts w:cstheme="minorHAnsi"/>
          <w:sz w:val="26"/>
          <w:szCs w:val="26"/>
        </w:rPr>
        <w:t xml:space="preserve"> pages</w:t>
      </w:r>
      <w:r w:rsidR="00EB713A">
        <w:rPr>
          <w:rFonts w:cstheme="minorHAnsi"/>
          <w:sz w:val="26"/>
          <w:szCs w:val="26"/>
        </w:rPr>
        <w:t>en partie</w:t>
      </w:r>
      <w:r>
        <w:rPr>
          <w:rFonts w:cstheme="minorHAnsi"/>
          <w:sz w:val="26"/>
          <w:szCs w:val="26"/>
        </w:rPr>
        <w:t xml:space="preserve"> descriptives et qui</w:t>
      </w:r>
      <w:r w:rsidR="001F0B6D">
        <w:rPr>
          <w:rFonts w:cstheme="minorHAnsi"/>
          <w:sz w:val="26"/>
          <w:szCs w:val="26"/>
        </w:rPr>
        <w:t xml:space="preserve"> - </w:t>
      </w:r>
      <w:r>
        <w:rPr>
          <w:rFonts w:cstheme="minorHAnsi"/>
          <w:sz w:val="26"/>
          <w:szCs w:val="26"/>
        </w:rPr>
        <w:t>outre la dimension</w:t>
      </w:r>
      <w:r w:rsidR="001F0B6D">
        <w:rPr>
          <w:rFonts w:cstheme="minorHAnsi"/>
          <w:sz w:val="26"/>
          <w:szCs w:val="26"/>
        </w:rPr>
        <w:t xml:space="preserve"> spécifiquement</w:t>
      </w:r>
      <w:r>
        <w:rPr>
          <w:rFonts w:cstheme="minorHAnsi"/>
          <w:sz w:val="26"/>
          <w:szCs w:val="26"/>
        </w:rPr>
        <w:t xml:space="preserve"> sanitaire au cœur des</w:t>
      </w:r>
      <w:r w:rsidR="00D13D50">
        <w:rPr>
          <w:rFonts w:cstheme="minorHAnsi"/>
          <w:sz w:val="26"/>
          <w:szCs w:val="26"/>
        </w:rPr>
        <w:t>a thèse</w:t>
      </w:r>
      <w:r w:rsidR="001F0B6D">
        <w:rPr>
          <w:rFonts w:cstheme="minorHAnsi"/>
          <w:sz w:val="26"/>
          <w:szCs w:val="26"/>
        </w:rPr>
        <w:t xml:space="preserve"> mais hors champ de cet article - documentent un peu plus </w:t>
      </w:r>
      <w:r w:rsidR="009864F1">
        <w:rPr>
          <w:rFonts w:cstheme="minorHAnsi"/>
          <w:sz w:val="26"/>
          <w:szCs w:val="26"/>
        </w:rPr>
        <w:t>le dossier de</w:t>
      </w:r>
      <w:r w:rsidR="001F0B6D">
        <w:rPr>
          <w:rFonts w:cstheme="minorHAnsi"/>
          <w:sz w:val="26"/>
          <w:szCs w:val="26"/>
        </w:rPr>
        <w:t>ce 85</w:t>
      </w:r>
      <w:r w:rsidR="001F0B6D" w:rsidRPr="001F0B6D">
        <w:rPr>
          <w:rFonts w:cstheme="minorHAnsi"/>
          <w:sz w:val="26"/>
          <w:szCs w:val="26"/>
          <w:vertAlign w:val="superscript"/>
        </w:rPr>
        <w:t>ème</w:t>
      </w:r>
      <w:r w:rsidR="001F0B6D">
        <w:rPr>
          <w:rFonts w:cstheme="minorHAnsi"/>
          <w:sz w:val="26"/>
          <w:szCs w:val="26"/>
        </w:rPr>
        <w:t xml:space="preserve"> convoi</w:t>
      </w:r>
      <w:r w:rsidR="00D40EB3">
        <w:rPr>
          <w:rFonts w:cstheme="minorHAnsi"/>
          <w:sz w:val="26"/>
          <w:szCs w:val="26"/>
        </w:rPr>
        <w:t xml:space="preserve"> qu</w:t>
      </w:r>
      <w:r w:rsidR="00E46DB3">
        <w:rPr>
          <w:rFonts w:cstheme="minorHAnsi"/>
          <w:sz w:val="26"/>
          <w:szCs w:val="26"/>
        </w:rPr>
        <w:t xml:space="preserve">’il </w:t>
      </w:r>
      <w:r w:rsidR="00386D9B" w:rsidRPr="009A749F">
        <w:rPr>
          <w:rFonts w:cstheme="minorHAnsi"/>
          <w:sz w:val="26"/>
          <w:szCs w:val="26"/>
        </w:rPr>
        <w:t>décrit comme ayant</w:t>
      </w:r>
      <w:r w:rsidR="00386D9B">
        <w:rPr>
          <w:rFonts w:cstheme="minorHAnsi"/>
          <w:sz w:val="26"/>
          <w:szCs w:val="26"/>
        </w:rPr>
        <w:t>…</w:t>
      </w:r>
    </w:p>
    <w:p w14:paraId="5F570A31" w14:textId="77777777" w:rsidR="00386D9B" w:rsidRPr="009A749F" w:rsidRDefault="00386D9B" w:rsidP="00386D9B">
      <w:pPr>
        <w:pStyle w:val="Paragraphedeliste"/>
        <w:jc w:val="both"/>
        <w:rPr>
          <w:rFonts w:cstheme="minorHAnsi"/>
          <w:sz w:val="26"/>
          <w:szCs w:val="26"/>
        </w:rPr>
      </w:pPr>
      <w:r w:rsidRPr="009A749F">
        <w:rPr>
          <w:rFonts w:cstheme="minorHAnsi"/>
          <w:i/>
          <w:iCs/>
          <w:sz w:val="26"/>
          <w:szCs w:val="26"/>
        </w:rPr>
        <w:t>‘</w:t>
      </w:r>
      <w:r>
        <w:rPr>
          <w:rFonts w:cstheme="minorHAnsi"/>
          <w:i/>
          <w:iCs/>
          <w:sz w:val="26"/>
          <w:szCs w:val="26"/>
        </w:rPr>
        <w:t>…</w:t>
      </w:r>
      <w:r w:rsidRPr="009A749F">
        <w:rPr>
          <w:rFonts w:cstheme="minorHAnsi"/>
          <w:i/>
          <w:iCs/>
          <w:sz w:val="26"/>
          <w:szCs w:val="26"/>
        </w:rPr>
        <w:t>été recruté dans la vallée du Gange. Il se composait de 525 personnes dont 346 hommes et 139 femmes adultes, 23 enfants des deux sexes de 10 à 12 ans et 17 au-dessus de cet âge ; l’âge moyen des 346 hommes était de 23 ans 9 jours et celui des 139 femmes de 23 ans quatre mois. [</w:t>
      </w:r>
      <w:proofErr w:type="gramStart"/>
      <w:r w:rsidRPr="009A749F">
        <w:rPr>
          <w:rFonts w:cstheme="minorHAnsi"/>
          <w:i/>
          <w:iCs/>
          <w:sz w:val="26"/>
          <w:szCs w:val="26"/>
        </w:rPr>
        <w:t>ils</w:t>
      </w:r>
      <w:proofErr w:type="gramEnd"/>
      <w:r w:rsidRPr="009A749F">
        <w:rPr>
          <w:rFonts w:cstheme="minorHAnsi"/>
          <w:i/>
          <w:iCs/>
          <w:sz w:val="26"/>
          <w:szCs w:val="26"/>
        </w:rPr>
        <w:t xml:space="preserve">] appartenaient aux </w:t>
      </w:r>
      <w:r w:rsidRPr="009A749F">
        <w:rPr>
          <w:rFonts w:cstheme="minorHAnsi"/>
          <w:i/>
          <w:iCs/>
          <w:sz w:val="26"/>
          <w:szCs w:val="26"/>
        </w:rPr>
        <w:lastRenderedPageBreak/>
        <w:t xml:space="preserve">classes pauvres en même temps qu’aux classes inférieures. On comptait cependant parmi eux quelques sujets de caste </w:t>
      </w:r>
      <w:proofErr w:type="spellStart"/>
      <w:r w:rsidRPr="009A749F">
        <w:rPr>
          <w:rFonts w:cstheme="minorHAnsi"/>
          <w:i/>
          <w:iCs/>
          <w:sz w:val="26"/>
          <w:szCs w:val="26"/>
        </w:rPr>
        <w:t>brahamine</w:t>
      </w:r>
      <w:proofErr w:type="spellEnd"/>
      <w:r w:rsidRPr="009A749F">
        <w:rPr>
          <w:rFonts w:cstheme="minorHAnsi"/>
          <w:i/>
          <w:iCs/>
          <w:sz w:val="26"/>
          <w:szCs w:val="26"/>
        </w:rPr>
        <w:t xml:space="preserve">, </w:t>
      </w:r>
      <w:proofErr w:type="spellStart"/>
      <w:r w:rsidRPr="009A749F">
        <w:rPr>
          <w:rFonts w:cstheme="minorHAnsi"/>
          <w:i/>
          <w:iCs/>
          <w:sz w:val="26"/>
          <w:szCs w:val="26"/>
        </w:rPr>
        <w:t>djat</w:t>
      </w:r>
      <w:proofErr w:type="spellEnd"/>
      <w:r w:rsidRPr="009A749F">
        <w:rPr>
          <w:rFonts w:cstheme="minorHAnsi"/>
          <w:i/>
          <w:iCs/>
          <w:sz w:val="26"/>
          <w:szCs w:val="26"/>
        </w:rPr>
        <w:t xml:space="preserve">, </w:t>
      </w:r>
      <w:proofErr w:type="spellStart"/>
      <w:r w:rsidRPr="009A749F">
        <w:rPr>
          <w:rFonts w:cstheme="minorHAnsi"/>
          <w:i/>
          <w:iCs/>
          <w:sz w:val="26"/>
          <w:szCs w:val="26"/>
        </w:rPr>
        <w:t>radjpout</w:t>
      </w:r>
      <w:proofErr w:type="spellEnd"/>
      <w:r w:rsidRPr="009A749F">
        <w:rPr>
          <w:rFonts w:cstheme="minorHAnsi"/>
          <w:i/>
          <w:iCs/>
          <w:sz w:val="26"/>
          <w:szCs w:val="26"/>
        </w:rPr>
        <w:t xml:space="preserve">, </w:t>
      </w:r>
      <w:proofErr w:type="spellStart"/>
      <w:r w:rsidRPr="009A749F">
        <w:rPr>
          <w:rFonts w:cstheme="minorHAnsi"/>
          <w:i/>
          <w:iCs/>
          <w:sz w:val="26"/>
          <w:szCs w:val="26"/>
        </w:rPr>
        <w:t>ahir</w:t>
      </w:r>
      <w:proofErr w:type="spellEnd"/>
      <w:r w:rsidRPr="009A749F">
        <w:rPr>
          <w:rFonts w:cstheme="minorHAnsi"/>
          <w:i/>
          <w:iCs/>
          <w:sz w:val="26"/>
          <w:szCs w:val="26"/>
        </w:rPr>
        <w:t>’</w:t>
      </w:r>
      <w:r w:rsidRPr="009A749F">
        <w:rPr>
          <w:rFonts w:cstheme="minorHAnsi"/>
          <w:sz w:val="26"/>
          <w:szCs w:val="26"/>
        </w:rPr>
        <w:t>.</w:t>
      </w:r>
    </w:p>
    <w:p w14:paraId="292ED703" w14:textId="77777777" w:rsidR="003128D5" w:rsidRPr="003128D5" w:rsidRDefault="003E6092" w:rsidP="006207DA">
      <w:pPr>
        <w:jc w:val="both"/>
        <w:rPr>
          <w:rFonts w:cstheme="minorHAnsi"/>
          <w:sz w:val="26"/>
          <w:szCs w:val="26"/>
        </w:rPr>
      </w:pPr>
      <w:r w:rsidRPr="003128D5">
        <w:rPr>
          <w:rFonts w:cstheme="minorHAnsi"/>
          <w:sz w:val="26"/>
          <w:szCs w:val="26"/>
        </w:rPr>
        <w:t>Le 3 octobre 1882, à Calcutta, </w:t>
      </w:r>
      <w:r w:rsidR="008C0A06">
        <w:rPr>
          <w:rFonts w:cstheme="minorHAnsi"/>
          <w:sz w:val="26"/>
          <w:szCs w:val="26"/>
        </w:rPr>
        <w:t>Ch.</w:t>
      </w:r>
      <w:r w:rsidRPr="003128D5">
        <w:rPr>
          <w:rFonts w:cstheme="minorHAnsi"/>
          <w:sz w:val="26"/>
          <w:szCs w:val="26"/>
        </w:rPr>
        <w:t xml:space="preserve"> Cauvinpassait en revue une dernière fois les </w:t>
      </w:r>
      <w:r w:rsidRPr="003506A0">
        <w:rPr>
          <w:rFonts w:cstheme="minorHAnsi"/>
          <w:i/>
          <w:iCs/>
          <w:sz w:val="26"/>
          <w:szCs w:val="26"/>
        </w:rPr>
        <w:t>coolies</w:t>
      </w:r>
      <w:r w:rsidRPr="003128D5">
        <w:rPr>
          <w:rFonts w:cstheme="minorHAnsi"/>
          <w:sz w:val="26"/>
          <w:szCs w:val="26"/>
        </w:rPr>
        <w:t xml:space="preserve"> qui s’apprêtaient à embarquer sur le </w:t>
      </w:r>
      <w:r w:rsidRPr="00A754DC">
        <w:rPr>
          <w:rFonts w:ascii="Lucida Handwriting" w:hAnsi="Lucida Handwriting" w:cstheme="minorHAnsi"/>
          <w:sz w:val="26"/>
          <w:szCs w:val="26"/>
        </w:rPr>
        <w:t>Hereford</w:t>
      </w:r>
      <w:r w:rsidRPr="003128D5">
        <w:rPr>
          <w:rFonts w:cstheme="minorHAnsi"/>
          <w:sz w:val="26"/>
          <w:szCs w:val="26"/>
        </w:rPr>
        <w:t xml:space="preserve">, affrété pour les transporter </w:t>
      </w:r>
      <w:r w:rsidR="00E82091">
        <w:rPr>
          <w:rFonts w:cstheme="minorHAnsi"/>
          <w:sz w:val="26"/>
          <w:szCs w:val="26"/>
        </w:rPr>
        <w:t>vers la</w:t>
      </w:r>
      <w:r w:rsidRPr="003128D5">
        <w:rPr>
          <w:rFonts w:cstheme="minorHAnsi"/>
          <w:sz w:val="26"/>
          <w:szCs w:val="26"/>
        </w:rPr>
        <w:t xml:space="preserve"> Guadeloupe.</w:t>
      </w:r>
      <w:r w:rsidR="00FC6826" w:rsidRPr="003128D5">
        <w:rPr>
          <w:rFonts w:cstheme="minorHAnsi"/>
          <w:sz w:val="26"/>
          <w:szCs w:val="26"/>
        </w:rPr>
        <w:t> </w:t>
      </w:r>
      <w:r w:rsidR="00A754DC">
        <w:rPr>
          <w:rFonts w:cstheme="minorHAnsi"/>
          <w:sz w:val="26"/>
          <w:szCs w:val="26"/>
        </w:rPr>
        <w:t xml:space="preserve">Il </w:t>
      </w:r>
      <w:r w:rsidR="00FC6826" w:rsidRPr="003128D5">
        <w:rPr>
          <w:rFonts w:cstheme="minorHAnsi"/>
          <w:sz w:val="26"/>
          <w:szCs w:val="26"/>
        </w:rPr>
        <w:t>remplissait</w:t>
      </w:r>
      <w:r w:rsidR="00A754DC">
        <w:rPr>
          <w:rFonts w:cstheme="minorHAnsi"/>
          <w:sz w:val="26"/>
          <w:szCs w:val="26"/>
        </w:rPr>
        <w:t xml:space="preserve"> alors</w:t>
      </w:r>
      <w:r w:rsidR="00FC6826" w:rsidRPr="003128D5">
        <w:rPr>
          <w:rFonts w:cstheme="minorHAnsi"/>
          <w:sz w:val="26"/>
          <w:szCs w:val="26"/>
        </w:rPr>
        <w:t xml:space="preserve"> les fonctions de commissaire du gouvernement pour ce convoi et, en ce moment, il échangeait avec le </w:t>
      </w:r>
      <w:r w:rsidR="00FC6826" w:rsidRPr="00E82091">
        <w:rPr>
          <w:rFonts w:cstheme="minorHAnsi"/>
          <w:i/>
          <w:iCs/>
          <w:sz w:val="26"/>
          <w:szCs w:val="26"/>
        </w:rPr>
        <w:t>protecteur des immigrants</w:t>
      </w:r>
      <w:r w:rsidR="00E82091">
        <w:rPr>
          <w:rFonts w:cstheme="minorHAnsi"/>
          <w:sz w:val="26"/>
          <w:szCs w:val="26"/>
        </w:rPr>
        <w:t xml:space="preserve">, </w:t>
      </w:r>
      <w:r w:rsidR="00FC6826" w:rsidRPr="003128D5">
        <w:rPr>
          <w:rFonts w:cstheme="minorHAnsi"/>
          <w:sz w:val="26"/>
          <w:szCs w:val="26"/>
        </w:rPr>
        <w:t>qui s’appelait Richards et venait de lui dire</w:t>
      </w:r>
      <w:r w:rsidR="00E82091">
        <w:rPr>
          <w:rFonts w:cstheme="minorHAnsi"/>
          <w:sz w:val="26"/>
          <w:szCs w:val="26"/>
        </w:rPr>
        <w:t> :</w:t>
      </w:r>
      <w:r w:rsidR="00FC6826" w:rsidRPr="003128D5">
        <w:rPr>
          <w:rFonts w:cstheme="minorHAnsi"/>
          <w:i/>
          <w:iCs/>
          <w:sz w:val="26"/>
          <w:szCs w:val="26"/>
        </w:rPr>
        <w:t xml:space="preserve">‘ </w:t>
      </w:r>
      <w:r w:rsidR="00E82091">
        <w:rPr>
          <w:rFonts w:cstheme="minorHAnsi"/>
          <w:i/>
          <w:iCs/>
          <w:sz w:val="26"/>
          <w:szCs w:val="26"/>
        </w:rPr>
        <w:t>V</w:t>
      </w:r>
      <w:r w:rsidR="00FC6826" w:rsidRPr="003128D5">
        <w:rPr>
          <w:rFonts w:cstheme="minorHAnsi"/>
          <w:i/>
          <w:iCs/>
          <w:sz w:val="26"/>
          <w:szCs w:val="26"/>
        </w:rPr>
        <w:t>ous emmenez un des plus beaux convois qui aient quitté Calcutta’</w:t>
      </w:r>
      <w:r w:rsidR="00FC6826" w:rsidRPr="003128D5">
        <w:rPr>
          <w:rFonts w:cstheme="minorHAnsi"/>
          <w:sz w:val="26"/>
          <w:szCs w:val="26"/>
        </w:rPr>
        <w:t xml:space="preserve">. Pour sa part Cauvin notait que le navire était un  </w:t>
      </w:r>
      <w:r w:rsidR="00FC6826" w:rsidRPr="003128D5">
        <w:rPr>
          <w:rFonts w:cstheme="minorHAnsi"/>
          <w:i/>
          <w:iCs/>
          <w:sz w:val="26"/>
          <w:szCs w:val="26"/>
        </w:rPr>
        <w:t>‘beau clipper de 1455 tonneaux’</w:t>
      </w:r>
      <w:r w:rsidR="00FC6826" w:rsidRPr="003128D5">
        <w:rPr>
          <w:rFonts w:cstheme="minorHAnsi"/>
          <w:sz w:val="26"/>
          <w:szCs w:val="26"/>
        </w:rPr>
        <w:t xml:space="preserve">. Il remarqua également la bonne mine des partants qu’il décrit ainsi : </w:t>
      </w:r>
    </w:p>
    <w:p w14:paraId="04FB666F" w14:textId="77777777" w:rsidR="00D5210E" w:rsidRPr="003128D5" w:rsidRDefault="00FC6826" w:rsidP="00677C11">
      <w:pPr>
        <w:pStyle w:val="Paragraphedeliste"/>
        <w:jc w:val="both"/>
        <w:rPr>
          <w:rFonts w:cstheme="minorHAnsi"/>
          <w:i/>
          <w:iCs/>
          <w:sz w:val="26"/>
          <w:szCs w:val="26"/>
        </w:rPr>
      </w:pPr>
      <w:r w:rsidRPr="003128D5">
        <w:rPr>
          <w:rFonts w:cstheme="minorHAnsi"/>
          <w:i/>
          <w:iCs/>
          <w:sz w:val="26"/>
          <w:szCs w:val="26"/>
        </w:rPr>
        <w:t xml:space="preserve">‘ Dans leurs vêtements neufs, </w:t>
      </w:r>
      <w:r w:rsidR="003128D5" w:rsidRPr="003128D5">
        <w:rPr>
          <w:rFonts w:cstheme="minorHAnsi"/>
          <w:i/>
          <w:iCs/>
          <w:sz w:val="26"/>
          <w:szCs w:val="26"/>
        </w:rPr>
        <w:t>le regard illuminé par la joie du départ, [</w:t>
      </w:r>
      <w:r w:rsidR="003128D5" w:rsidRPr="003128D5">
        <w:rPr>
          <w:rFonts w:cstheme="minorHAnsi"/>
          <w:sz w:val="26"/>
          <w:szCs w:val="26"/>
        </w:rPr>
        <w:t>ils</w:t>
      </w:r>
      <w:r w:rsidR="003128D5" w:rsidRPr="003128D5">
        <w:rPr>
          <w:rFonts w:cstheme="minorHAnsi"/>
          <w:i/>
          <w:iCs/>
          <w:sz w:val="26"/>
          <w:szCs w:val="26"/>
        </w:rPr>
        <w:t>] avaient bonne mine : beaucoup étaient taillés en athlètes, et les quelques individus sur l’âge extra-réglementaire desquels on avait fermé les yeux pour ne pas se priver, avec eux, d’une nombreuse famille valide, relevaient la tête et affermissaient le pas. Ces gens […] semblaient avoir supporté avec impatience la réclusion dudépôt, où plusieurs avaient attendu de longs mois la formation complète du convoi’</w:t>
      </w:r>
    </w:p>
    <w:p w14:paraId="3B9569B8" w14:textId="77777777" w:rsidR="00D5210E" w:rsidRDefault="000B514E" w:rsidP="00386D9B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Cependant, cette euphorie que décrit Cauvin allait, de son propre aveu, rapidement laisser place à la monotonie de la vie à bord du </w:t>
      </w:r>
      <w:r w:rsidRPr="003F47F0">
        <w:rPr>
          <w:rFonts w:ascii="Lucida Handwriting" w:hAnsi="Lucida Handwriting" w:cstheme="minorHAnsi"/>
          <w:sz w:val="26"/>
          <w:szCs w:val="26"/>
        </w:rPr>
        <w:t>Hereford</w:t>
      </w:r>
      <w:r>
        <w:rPr>
          <w:rFonts w:cstheme="minorHAnsi"/>
          <w:sz w:val="26"/>
          <w:szCs w:val="26"/>
        </w:rPr>
        <w:t xml:space="preserve"> et aux désagréments du mal de mer. Mais</w:t>
      </w:r>
      <w:r w:rsidR="00D67CC5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plus grave</w:t>
      </w:r>
      <w:r w:rsidR="003F47F0">
        <w:rPr>
          <w:rFonts w:cstheme="minorHAnsi"/>
          <w:sz w:val="26"/>
          <w:szCs w:val="26"/>
        </w:rPr>
        <w:t xml:space="preserve">, </w:t>
      </w:r>
      <w:r w:rsidR="00084BB6">
        <w:rPr>
          <w:rFonts w:cstheme="minorHAnsi"/>
          <w:sz w:val="26"/>
          <w:szCs w:val="26"/>
        </w:rPr>
        <w:t>Cauvin repéra, bien dissimulé</w:t>
      </w:r>
      <w:r w:rsidR="00CB36CE">
        <w:rPr>
          <w:rFonts w:cstheme="minorHAnsi"/>
          <w:sz w:val="26"/>
          <w:szCs w:val="26"/>
        </w:rPr>
        <w:t>s</w:t>
      </w:r>
      <w:r w:rsidR="00084BB6">
        <w:rPr>
          <w:rFonts w:cstheme="minorHAnsi"/>
          <w:sz w:val="26"/>
          <w:szCs w:val="26"/>
        </w:rPr>
        <w:t xml:space="preserve"> dans le convoi, quelques personnes qui avaient échappé à sa visite médicale au dépôt des émigrants ou</w:t>
      </w:r>
      <w:r w:rsidR="00E35B8C">
        <w:rPr>
          <w:rFonts w:cstheme="minorHAnsi"/>
          <w:sz w:val="26"/>
          <w:szCs w:val="26"/>
        </w:rPr>
        <w:t xml:space="preserve">qui </w:t>
      </w:r>
      <w:r w:rsidR="003F47F0">
        <w:rPr>
          <w:rFonts w:cstheme="minorHAnsi"/>
          <w:sz w:val="26"/>
          <w:szCs w:val="26"/>
        </w:rPr>
        <w:t>avaient</w:t>
      </w:r>
      <w:r w:rsidR="00663CBF">
        <w:rPr>
          <w:rFonts w:cstheme="minorHAnsi"/>
          <w:sz w:val="26"/>
          <w:szCs w:val="26"/>
        </w:rPr>
        <w:t xml:space="preserve">été </w:t>
      </w:r>
      <w:r w:rsidR="00084BB6">
        <w:rPr>
          <w:rFonts w:cstheme="minorHAnsi"/>
          <w:sz w:val="26"/>
          <w:szCs w:val="26"/>
        </w:rPr>
        <w:t xml:space="preserve">ajoutés, subrepticement et au dernier moment, </w:t>
      </w:r>
      <w:r w:rsidR="00987DBE">
        <w:rPr>
          <w:rFonts w:cstheme="minorHAnsi"/>
          <w:sz w:val="26"/>
          <w:szCs w:val="26"/>
        </w:rPr>
        <w:t>à ce</w:t>
      </w:r>
      <w:r w:rsidR="00084BB6">
        <w:rPr>
          <w:rFonts w:cstheme="minorHAnsi"/>
          <w:sz w:val="26"/>
          <w:szCs w:val="26"/>
        </w:rPr>
        <w:t xml:space="preserve"> convoi destiné à la Guadeloupe</w:t>
      </w:r>
      <w:r w:rsidR="00721521">
        <w:rPr>
          <w:rFonts w:cstheme="minorHAnsi"/>
          <w:sz w:val="26"/>
          <w:szCs w:val="26"/>
        </w:rPr>
        <w:t xml:space="preserve">. </w:t>
      </w:r>
      <w:r w:rsidR="00CC6943">
        <w:rPr>
          <w:rFonts w:cstheme="minorHAnsi"/>
          <w:sz w:val="26"/>
          <w:szCs w:val="26"/>
        </w:rPr>
        <w:t>I</w:t>
      </w:r>
      <w:r w:rsidR="00721521">
        <w:rPr>
          <w:rFonts w:cstheme="minorHAnsi"/>
          <w:sz w:val="26"/>
          <w:szCs w:val="26"/>
        </w:rPr>
        <w:t>l les</w:t>
      </w:r>
      <w:r w:rsidR="00D67CC5">
        <w:rPr>
          <w:rFonts w:cstheme="minorHAnsi"/>
          <w:sz w:val="26"/>
          <w:szCs w:val="26"/>
        </w:rPr>
        <w:t xml:space="preserve"> décrit comme </w:t>
      </w:r>
      <w:r w:rsidR="00D67CC5">
        <w:rPr>
          <w:rFonts w:cstheme="minorHAnsi"/>
          <w:i/>
          <w:iCs/>
          <w:sz w:val="26"/>
          <w:szCs w:val="26"/>
        </w:rPr>
        <w:t>‘ plusieurs jeunes gens déjà anémiés ou de constitution malingre’</w:t>
      </w:r>
      <w:r w:rsidR="00D40EB3">
        <w:rPr>
          <w:rFonts w:cstheme="minorHAnsi"/>
          <w:sz w:val="26"/>
          <w:szCs w:val="26"/>
        </w:rPr>
        <w:t>…point de départ de ses observations et réflexions autour du béribéri</w:t>
      </w:r>
      <w:r w:rsidR="00721521">
        <w:rPr>
          <w:rFonts w:cstheme="minorHAnsi"/>
          <w:sz w:val="26"/>
          <w:szCs w:val="26"/>
        </w:rPr>
        <w:t xml:space="preserve">, </w:t>
      </w:r>
      <w:r w:rsidR="00D40EB3">
        <w:rPr>
          <w:rFonts w:cstheme="minorHAnsi"/>
          <w:sz w:val="26"/>
          <w:szCs w:val="26"/>
        </w:rPr>
        <w:t xml:space="preserve">d’abord dans son rapport d’officiel </w:t>
      </w:r>
      <w:r w:rsidR="004B38A2">
        <w:rPr>
          <w:rFonts w:cstheme="minorHAnsi"/>
          <w:sz w:val="26"/>
          <w:szCs w:val="26"/>
        </w:rPr>
        <w:t>concernant ce</w:t>
      </w:r>
      <w:r w:rsidR="00D40EB3">
        <w:rPr>
          <w:rFonts w:cstheme="minorHAnsi"/>
          <w:sz w:val="26"/>
          <w:szCs w:val="26"/>
        </w:rPr>
        <w:t xml:space="preserve"> convoi du </w:t>
      </w:r>
      <w:r w:rsidR="00D40EB3" w:rsidRPr="00D40EB3">
        <w:rPr>
          <w:rFonts w:ascii="Lucida Handwriting" w:hAnsi="Lucida Handwriting" w:cstheme="minorHAnsi"/>
          <w:sz w:val="26"/>
          <w:szCs w:val="26"/>
        </w:rPr>
        <w:t>Hereford</w:t>
      </w:r>
      <w:r w:rsidR="00D40EB3">
        <w:rPr>
          <w:rFonts w:cstheme="minorHAnsi"/>
          <w:sz w:val="26"/>
          <w:szCs w:val="26"/>
        </w:rPr>
        <w:t xml:space="preserve"> en 1882 puis dans sa thèse de doctorat en 1888. </w:t>
      </w:r>
    </w:p>
    <w:p w14:paraId="6E0596ED" w14:textId="77777777" w:rsidR="00A448F1" w:rsidRDefault="00A448F1" w:rsidP="00386D9B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Ce voyage était le premier du </w:t>
      </w:r>
      <w:r w:rsidRPr="00A448F1">
        <w:rPr>
          <w:rFonts w:ascii="Lucida Handwriting" w:hAnsi="Lucida Handwriting" w:cstheme="minorHAnsi"/>
          <w:sz w:val="26"/>
          <w:szCs w:val="26"/>
        </w:rPr>
        <w:t>Hereford</w:t>
      </w:r>
      <w:r>
        <w:rPr>
          <w:rFonts w:cstheme="minorHAnsi"/>
          <w:sz w:val="26"/>
          <w:szCs w:val="26"/>
        </w:rPr>
        <w:t xml:space="preserve"> vers la Guadeloupe</w:t>
      </w:r>
      <w:r w:rsidR="00216940">
        <w:rPr>
          <w:rFonts w:cstheme="minorHAnsi"/>
          <w:sz w:val="26"/>
          <w:szCs w:val="26"/>
        </w:rPr>
        <w:t>. Le 10 avril 1884,</w:t>
      </w:r>
      <w:r>
        <w:rPr>
          <w:rFonts w:cstheme="minorHAnsi"/>
          <w:sz w:val="26"/>
          <w:szCs w:val="26"/>
        </w:rPr>
        <w:t xml:space="preserve">ce navire de l’armement londonien James </w:t>
      </w:r>
      <w:proofErr w:type="spellStart"/>
      <w:r>
        <w:rPr>
          <w:rFonts w:cstheme="minorHAnsi"/>
          <w:sz w:val="26"/>
          <w:szCs w:val="26"/>
        </w:rPr>
        <w:t>Nourse</w:t>
      </w:r>
      <w:proofErr w:type="spellEnd"/>
      <w:r>
        <w:rPr>
          <w:rFonts w:cstheme="minorHAnsi"/>
          <w:sz w:val="26"/>
          <w:szCs w:val="26"/>
        </w:rPr>
        <w:t xml:space="preserve"> y introduirait un second ‘convoi indien</w:t>
      </w:r>
      <w:r w:rsidR="00216940">
        <w:rPr>
          <w:rFonts w:cstheme="minorHAnsi"/>
          <w:sz w:val="26"/>
          <w:szCs w:val="26"/>
        </w:rPr>
        <w:t> : le 89</w:t>
      </w:r>
      <w:r w:rsidR="00216940" w:rsidRPr="00216940">
        <w:rPr>
          <w:rFonts w:cstheme="minorHAnsi"/>
          <w:sz w:val="26"/>
          <w:szCs w:val="26"/>
          <w:vertAlign w:val="superscript"/>
        </w:rPr>
        <w:t>ème</w:t>
      </w:r>
      <w:r w:rsidR="00216940">
        <w:rPr>
          <w:rFonts w:cstheme="minorHAnsi"/>
          <w:sz w:val="26"/>
          <w:szCs w:val="26"/>
        </w:rPr>
        <w:t>.</w:t>
      </w:r>
    </w:p>
    <w:p w14:paraId="677BEF31" w14:textId="77777777" w:rsidR="00D5210E" w:rsidRPr="003128D5" w:rsidRDefault="00000000" w:rsidP="00D30910">
      <w:pPr>
        <w:jc w:val="right"/>
        <w:rPr>
          <w:rFonts w:cstheme="minorHAnsi"/>
          <w:sz w:val="26"/>
          <w:szCs w:val="26"/>
        </w:rPr>
      </w:pPr>
      <w:hyperlink r:id="rId5" w:history="1">
        <w:r w:rsidR="00AA2562" w:rsidRPr="00F21E3E">
          <w:rPr>
            <w:rStyle w:val="Lienhypertexte"/>
            <w:rFonts w:cstheme="minorHAnsi"/>
            <w:sz w:val="26"/>
            <w:szCs w:val="26"/>
          </w:rPr>
          <w:t>J_cailachon@orange.fr</w:t>
        </w:r>
      </w:hyperlink>
    </w:p>
    <w:p w14:paraId="189416A0" w14:textId="77777777" w:rsidR="00892604" w:rsidRDefault="00892604" w:rsidP="00892604">
      <w:pPr>
        <w:jc w:val="both"/>
        <w:rPr>
          <w:sz w:val="20"/>
          <w:szCs w:val="20"/>
        </w:rPr>
      </w:pPr>
      <w:r w:rsidRPr="00465354">
        <w:rPr>
          <w:b/>
          <w:bCs/>
          <w:sz w:val="20"/>
          <w:szCs w:val="20"/>
          <w:u w:val="single"/>
        </w:rPr>
        <w:t>Source</w:t>
      </w:r>
      <w:r w:rsidRPr="00465354">
        <w:rPr>
          <w:sz w:val="20"/>
          <w:szCs w:val="20"/>
        </w:rPr>
        <w:t xml:space="preserve"> accessible en ligne :</w:t>
      </w:r>
    </w:p>
    <w:p w14:paraId="0434BA37" w14:textId="77777777" w:rsidR="00892604" w:rsidRPr="00892604" w:rsidRDefault="00000000" w:rsidP="00892604">
      <w:pPr>
        <w:pStyle w:val="Paragraphedeliste"/>
        <w:numPr>
          <w:ilvl w:val="0"/>
          <w:numId w:val="6"/>
        </w:numPr>
        <w:jc w:val="both"/>
        <w:rPr>
          <w:sz w:val="16"/>
          <w:szCs w:val="16"/>
        </w:rPr>
      </w:pPr>
      <w:hyperlink r:id="rId6" w:history="1">
        <w:r w:rsidR="00892604" w:rsidRPr="00892604">
          <w:rPr>
            <w:rStyle w:val="Lienhypertexte"/>
            <w:rFonts w:cstheme="minorHAnsi"/>
            <w:sz w:val="16"/>
            <w:szCs w:val="16"/>
          </w:rPr>
          <w:t>https://gallica.bnf.fr/ark:/12148/bpt6k9766077k/f5.item.r=coolies</w:t>
        </w:r>
      </w:hyperlink>
    </w:p>
    <w:p w14:paraId="75D88B65" w14:textId="77777777" w:rsidR="00BE56BC" w:rsidRDefault="00EA46D5" w:rsidP="006207DA">
      <w:pPr>
        <w:jc w:val="both"/>
        <w:rPr>
          <w:rFonts w:cstheme="minorHAnsi"/>
          <w:i/>
          <w:iCs/>
          <w:sz w:val="20"/>
          <w:szCs w:val="20"/>
        </w:rPr>
      </w:pPr>
      <w:r w:rsidRPr="00EA46D5">
        <w:rPr>
          <w:rFonts w:cstheme="minorHAnsi"/>
          <w:i/>
          <w:iCs/>
          <w:sz w:val="20"/>
          <w:szCs w:val="20"/>
        </w:rPr>
        <w:t>La consultation</w:t>
      </w:r>
      <w:r w:rsidR="002C16BF">
        <w:rPr>
          <w:rFonts w:cstheme="minorHAnsi"/>
          <w:i/>
          <w:iCs/>
          <w:sz w:val="20"/>
          <w:szCs w:val="20"/>
        </w:rPr>
        <w:t>, recommandée,</w:t>
      </w:r>
      <w:r w:rsidRPr="00EA46D5">
        <w:rPr>
          <w:rFonts w:cstheme="minorHAnsi"/>
          <w:i/>
          <w:iCs/>
          <w:sz w:val="20"/>
          <w:szCs w:val="20"/>
        </w:rPr>
        <w:t xml:space="preserve"> de cette source permet</w:t>
      </w:r>
      <w:r w:rsidR="00AB5B2C">
        <w:rPr>
          <w:rFonts w:cstheme="minorHAnsi"/>
          <w:i/>
          <w:iCs/>
          <w:sz w:val="20"/>
          <w:szCs w:val="20"/>
        </w:rPr>
        <w:t>tra au lecteur</w:t>
      </w:r>
      <w:r w:rsidRPr="00EA46D5">
        <w:rPr>
          <w:rFonts w:cstheme="minorHAnsi"/>
          <w:i/>
          <w:iCs/>
          <w:sz w:val="20"/>
          <w:szCs w:val="20"/>
        </w:rPr>
        <w:t xml:space="preserve"> d’</w:t>
      </w:r>
      <w:r w:rsidRPr="00740039">
        <w:rPr>
          <w:rFonts w:cstheme="minorHAnsi"/>
          <w:b/>
          <w:bCs/>
          <w:i/>
          <w:iCs/>
          <w:sz w:val="20"/>
          <w:szCs w:val="20"/>
        </w:rPr>
        <w:t>aller plus loin</w:t>
      </w:r>
      <w:r w:rsidRPr="00EA46D5">
        <w:rPr>
          <w:rFonts w:cstheme="minorHAnsi"/>
          <w:i/>
          <w:iCs/>
          <w:sz w:val="20"/>
          <w:szCs w:val="20"/>
        </w:rPr>
        <w:t xml:space="preserve">, </w:t>
      </w:r>
      <w:r w:rsidR="008E17A5">
        <w:rPr>
          <w:rFonts w:cstheme="minorHAnsi"/>
          <w:i/>
          <w:iCs/>
          <w:sz w:val="20"/>
          <w:szCs w:val="20"/>
        </w:rPr>
        <w:t xml:space="preserve">notamment </w:t>
      </w:r>
      <w:r w:rsidRPr="00EA46D5">
        <w:rPr>
          <w:rFonts w:cstheme="minorHAnsi"/>
          <w:i/>
          <w:iCs/>
          <w:sz w:val="20"/>
          <w:szCs w:val="20"/>
        </w:rPr>
        <w:t>dans la connaissance d</w:t>
      </w:r>
      <w:r>
        <w:rPr>
          <w:rFonts w:cstheme="minorHAnsi"/>
          <w:i/>
          <w:iCs/>
          <w:sz w:val="20"/>
          <w:szCs w:val="20"/>
        </w:rPr>
        <w:t>es</w:t>
      </w:r>
      <w:r w:rsidRPr="00EA46D5">
        <w:rPr>
          <w:rFonts w:cstheme="minorHAnsi"/>
          <w:i/>
          <w:iCs/>
          <w:sz w:val="20"/>
          <w:szCs w:val="20"/>
        </w:rPr>
        <w:t xml:space="preserve"> aspects sanitaires de ce 85</w:t>
      </w:r>
      <w:r w:rsidRPr="00EA46D5">
        <w:rPr>
          <w:rFonts w:cstheme="minorHAnsi"/>
          <w:i/>
          <w:iCs/>
          <w:sz w:val="20"/>
          <w:szCs w:val="20"/>
          <w:vertAlign w:val="superscript"/>
        </w:rPr>
        <w:t>ème</w:t>
      </w:r>
      <w:r w:rsidRPr="00EA46D5">
        <w:rPr>
          <w:rFonts w:cstheme="minorHAnsi"/>
          <w:i/>
          <w:iCs/>
          <w:sz w:val="20"/>
          <w:szCs w:val="20"/>
        </w:rPr>
        <w:t xml:space="preserve"> convoi</w:t>
      </w:r>
      <w:r w:rsidR="00216940">
        <w:rPr>
          <w:rFonts w:cstheme="minorHAnsi"/>
          <w:i/>
          <w:iCs/>
          <w:sz w:val="20"/>
          <w:szCs w:val="20"/>
        </w:rPr>
        <w:t>.</w:t>
      </w:r>
    </w:p>
    <w:p w14:paraId="0F68A378" w14:textId="77777777" w:rsidR="002C16BF" w:rsidRDefault="002C16BF" w:rsidP="002C16B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------------------------------------------------------</w:t>
      </w:r>
      <w:r w:rsidR="00A25620">
        <w:rPr>
          <w:rFonts w:cstheme="minorHAnsi"/>
          <w:sz w:val="20"/>
          <w:szCs w:val="20"/>
        </w:rPr>
        <w:t>---------------------------------------------------------------------------------------------</w:t>
      </w:r>
      <w:r>
        <w:rPr>
          <w:rFonts w:cstheme="minorHAnsi"/>
          <w:sz w:val="20"/>
          <w:szCs w:val="20"/>
        </w:rPr>
        <w:t xml:space="preserve">-  </w:t>
      </w:r>
    </w:p>
    <w:p w14:paraId="3C53FD26" w14:textId="77777777" w:rsidR="00D30910" w:rsidRPr="00D30910" w:rsidRDefault="00D30910" w:rsidP="00D30910">
      <w:pPr>
        <w:jc w:val="both"/>
        <w:rPr>
          <w:rFonts w:cstheme="minorHAnsi"/>
          <w:sz w:val="20"/>
          <w:szCs w:val="20"/>
        </w:rPr>
      </w:pPr>
      <w:r w:rsidRPr="00D30910">
        <w:rPr>
          <w:rFonts w:cstheme="minorHAnsi"/>
          <w:b/>
          <w:bCs/>
          <w:sz w:val="20"/>
          <w:szCs w:val="20"/>
          <w:u w:val="single"/>
        </w:rPr>
        <w:t>Actualité littéraire :</w:t>
      </w:r>
      <w:r>
        <w:rPr>
          <w:rFonts w:cstheme="minorHAnsi"/>
          <w:sz w:val="20"/>
          <w:szCs w:val="20"/>
        </w:rPr>
        <w:t xml:space="preserve"> vient de paraître (juillet 2020), imprimé et édité en Guadeloupe : </w:t>
      </w:r>
      <w:r>
        <w:rPr>
          <w:rFonts w:cstheme="minorHAnsi"/>
          <w:i/>
          <w:iCs/>
          <w:sz w:val="20"/>
          <w:szCs w:val="20"/>
        </w:rPr>
        <w:t xml:space="preserve">‘ La musique classique de l’Inde – Enseignement du Maître </w:t>
      </w:r>
      <w:proofErr w:type="spellStart"/>
      <w:r>
        <w:rPr>
          <w:rFonts w:cstheme="minorHAnsi"/>
          <w:i/>
          <w:iCs/>
          <w:sz w:val="20"/>
          <w:szCs w:val="20"/>
        </w:rPr>
        <w:t>NarendaBataju</w:t>
      </w:r>
      <w:proofErr w:type="spellEnd"/>
      <w:r>
        <w:rPr>
          <w:rFonts w:cstheme="minorHAnsi"/>
          <w:i/>
          <w:iCs/>
          <w:sz w:val="20"/>
          <w:szCs w:val="20"/>
        </w:rPr>
        <w:t xml:space="preserve">’ </w:t>
      </w:r>
      <w:r>
        <w:rPr>
          <w:rFonts w:cstheme="minorHAnsi"/>
          <w:sz w:val="20"/>
          <w:szCs w:val="20"/>
        </w:rPr>
        <w:t xml:space="preserve">de Roger </w:t>
      </w:r>
      <w:proofErr w:type="spellStart"/>
      <w:r>
        <w:rPr>
          <w:rFonts w:cstheme="minorHAnsi"/>
          <w:sz w:val="20"/>
          <w:szCs w:val="20"/>
        </w:rPr>
        <w:t>Lurel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="00BE56BC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ne somme de 572 pages.</w:t>
      </w:r>
    </w:p>
    <w:sectPr w:rsidR="00D30910" w:rsidRPr="00D30910" w:rsidSect="00741F1C"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0F5"/>
    <w:multiLevelType w:val="hybridMultilevel"/>
    <w:tmpl w:val="6B8EC210"/>
    <w:lvl w:ilvl="0" w:tplc="BD54BD66">
      <w:start w:val="18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106"/>
    <w:multiLevelType w:val="hybridMultilevel"/>
    <w:tmpl w:val="1388C61C"/>
    <w:lvl w:ilvl="0" w:tplc="60C008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6FAF"/>
    <w:multiLevelType w:val="hybridMultilevel"/>
    <w:tmpl w:val="E9AC315A"/>
    <w:lvl w:ilvl="0" w:tplc="01741570">
      <w:start w:val="18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60BC"/>
    <w:multiLevelType w:val="hybridMultilevel"/>
    <w:tmpl w:val="E848B7FE"/>
    <w:lvl w:ilvl="0" w:tplc="9A5A17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734FB0"/>
    <w:multiLevelType w:val="hybridMultilevel"/>
    <w:tmpl w:val="84BCBB0C"/>
    <w:lvl w:ilvl="0" w:tplc="8DE887F6">
      <w:start w:val="18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0665E"/>
    <w:multiLevelType w:val="hybridMultilevel"/>
    <w:tmpl w:val="BF0A695A"/>
    <w:lvl w:ilvl="0" w:tplc="17962132">
      <w:start w:val="18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A0831"/>
    <w:multiLevelType w:val="hybridMultilevel"/>
    <w:tmpl w:val="D1B0DABE"/>
    <w:lvl w:ilvl="0" w:tplc="82CE7B7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8F5E54"/>
    <w:multiLevelType w:val="hybridMultilevel"/>
    <w:tmpl w:val="73BC4EDE"/>
    <w:lvl w:ilvl="0" w:tplc="93604C9C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77596">
    <w:abstractNumId w:val="0"/>
  </w:num>
  <w:num w:numId="2" w16cid:durableId="2054310684">
    <w:abstractNumId w:val="2"/>
  </w:num>
  <w:num w:numId="3" w16cid:durableId="2131974449">
    <w:abstractNumId w:val="5"/>
  </w:num>
  <w:num w:numId="4" w16cid:durableId="443615966">
    <w:abstractNumId w:val="4"/>
  </w:num>
  <w:num w:numId="5" w16cid:durableId="347683841">
    <w:abstractNumId w:val="7"/>
  </w:num>
  <w:num w:numId="6" w16cid:durableId="1207062127">
    <w:abstractNumId w:val="1"/>
  </w:num>
  <w:num w:numId="7" w16cid:durableId="1434278372">
    <w:abstractNumId w:val="3"/>
  </w:num>
  <w:num w:numId="8" w16cid:durableId="1270089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DA"/>
    <w:rsid w:val="00001AD5"/>
    <w:rsid w:val="00002ABD"/>
    <w:rsid w:val="00017B3B"/>
    <w:rsid w:val="000331E9"/>
    <w:rsid w:val="00084BB6"/>
    <w:rsid w:val="00093295"/>
    <w:rsid w:val="000B514E"/>
    <w:rsid w:val="0011772D"/>
    <w:rsid w:val="0016526C"/>
    <w:rsid w:val="001F0B6D"/>
    <w:rsid w:val="001F407A"/>
    <w:rsid w:val="00216940"/>
    <w:rsid w:val="00225BFE"/>
    <w:rsid w:val="00276C2B"/>
    <w:rsid w:val="0027740C"/>
    <w:rsid w:val="0029545B"/>
    <w:rsid w:val="002C16BF"/>
    <w:rsid w:val="002F34CF"/>
    <w:rsid w:val="003128D5"/>
    <w:rsid w:val="00347FC2"/>
    <w:rsid w:val="003506A0"/>
    <w:rsid w:val="0035172A"/>
    <w:rsid w:val="00386D9B"/>
    <w:rsid w:val="003937DF"/>
    <w:rsid w:val="003D5CBC"/>
    <w:rsid w:val="003E6092"/>
    <w:rsid w:val="003F47F0"/>
    <w:rsid w:val="0047231A"/>
    <w:rsid w:val="004B38A2"/>
    <w:rsid w:val="005B71B1"/>
    <w:rsid w:val="006207DA"/>
    <w:rsid w:val="00663CBF"/>
    <w:rsid w:val="00677C11"/>
    <w:rsid w:val="006A679D"/>
    <w:rsid w:val="006E07BB"/>
    <w:rsid w:val="006E36BC"/>
    <w:rsid w:val="00721521"/>
    <w:rsid w:val="0073439E"/>
    <w:rsid w:val="00740039"/>
    <w:rsid w:val="00741F1C"/>
    <w:rsid w:val="0077215E"/>
    <w:rsid w:val="00832EC7"/>
    <w:rsid w:val="00850FC3"/>
    <w:rsid w:val="00892604"/>
    <w:rsid w:val="008C0A06"/>
    <w:rsid w:val="008D0C87"/>
    <w:rsid w:val="008D5294"/>
    <w:rsid w:val="008E17A5"/>
    <w:rsid w:val="00901E10"/>
    <w:rsid w:val="00951687"/>
    <w:rsid w:val="009864F1"/>
    <w:rsid w:val="00987DBE"/>
    <w:rsid w:val="0099134B"/>
    <w:rsid w:val="009A749F"/>
    <w:rsid w:val="009B4CE5"/>
    <w:rsid w:val="009F2FAE"/>
    <w:rsid w:val="00A25620"/>
    <w:rsid w:val="00A448F1"/>
    <w:rsid w:val="00A511C8"/>
    <w:rsid w:val="00A754DC"/>
    <w:rsid w:val="00AA2562"/>
    <w:rsid w:val="00AA5D41"/>
    <w:rsid w:val="00AB5B2C"/>
    <w:rsid w:val="00AF1516"/>
    <w:rsid w:val="00AF71A4"/>
    <w:rsid w:val="00B1134C"/>
    <w:rsid w:val="00B30DAE"/>
    <w:rsid w:val="00BB1700"/>
    <w:rsid w:val="00BE56BC"/>
    <w:rsid w:val="00BF5A5B"/>
    <w:rsid w:val="00CA71B3"/>
    <w:rsid w:val="00CB36CE"/>
    <w:rsid w:val="00CC6943"/>
    <w:rsid w:val="00D13D50"/>
    <w:rsid w:val="00D30910"/>
    <w:rsid w:val="00D40EB3"/>
    <w:rsid w:val="00D46C0E"/>
    <w:rsid w:val="00D5210E"/>
    <w:rsid w:val="00D66359"/>
    <w:rsid w:val="00D67CC5"/>
    <w:rsid w:val="00D84FD5"/>
    <w:rsid w:val="00DB47FB"/>
    <w:rsid w:val="00DF08BB"/>
    <w:rsid w:val="00E35B8C"/>
    <w:rsid w:val="00E46DB3"/>
    <w:rsid w:val="00E524C2"/>
    <w:rsid w:val="00E60449"/>
    <w:rsid w:val="00E63CAC"/>
    <w:rsid w:val="00E82091"/>
    <w:rsid w:val="00E94441"/>
    <w:rsid w:val="00EA46D5"/>
    <w:rsid w:val="00EB713A"/>
    <w:rsid w:val="00F80BE9"/>
    <w:rsid w:val="00F945FC"/>
    <w:rsid w:val="00FA1227"/>
    <w:rsid w:val="00FC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E155"/>
  <w15:docId w15:val="{9342E395-BE2C-4418-BBAB-35BEF9D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7B3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7B3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128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9766077k/f5.item.r=coolies" TargetMode="External"/><Relationship Id="rId5" Type="http://schemas.openxmlformats.org/officeDocument/2006/relationships/hyperlink" Target="mailto:J_cailacho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cailachon</dc:creator>
  <cp:lastModifiedBy>eliezere sitcharn</cp:lastModifiedBy>
  <cp:revision>2</cp:revision>
  <dcterms:created xsi:type="dcterms:W3CDTF">2022-09-17T22:03:00Z</dcterms:created>
  <dcterms:modified xsi:type="dcterms:W3CDTF">2022-09-17T22:03:00Z</dcterms:modified>
</cp:coreProperties>
</file>